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firstLine="672"/>
        <w:jc w:val="center"/>
        <w:rPr>
          <w:rFonts w:ascii="方正小标宋简体" w:eastAsia="方正小标宋简体" w:cs="仿宋_GB2312"/>
          <w:color w:val="000000"/>
          <w:spacing w:val="8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kern w:val="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kern w:val="0"/>
          <w:sz w:val="36"/>
          <w:szCs w:val="36"/>
          <w:lang w:val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kern w:val="0"/>
          <w:sz w:val="36"/>
          <w:szCs w:val="36"/>
          <w:lang w:val="zh-CN"/>
        </w:rPr>
        <w:t>北京市深化住宅专项维修资金管理改革的若干措施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kern w:val="0"/>
          <w:sz w:val="36"/>
          <w:szCs w:val="36"/>
          <w:lang w:val="zh-CN"/>
        </w:rPr>
        <w:t>》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kern w:val="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kern w:val="0"/>
          <w:sz w:val="36"/>
          <w:szCs w:val="36"/>
          <w:lang w:val="zh-CN"/>
        </w:rPr>
        <w:t>起草说明</w:t>
      </w:r>
    </w:p>
    <w:p>
      <w:pPr>
        <w:autoSpaceDE w:val="0"/>
        <w:autoSpaceDN w:val="0"/>
        <w:adjustRightInd w:val="0"/>
        <w:spacing w:line="560" w:lineRule="exact"/>
        <w:ind w:firstLine="672"/>
        <w:rPr>
          <w:rFonts w:ascii="仿宋_GB2312" w:eastAsia="仿宋_GB2312"/>
          <w:b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72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一、《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若干措施</w:t>
      </w:r>
      <w:r>
        <w:rPr>
          <w:rFonts w:hint="eastAsia" w:ascii="仿宋_GB2312" w:eastAsia="仿宋_GB2312"/>
          <w:b/>
          <w:sz w:val="32"/>
          <w:szCs w:val="32"/>
        </w:rPr>
        <w:t>》起草的背景</w:t>
      </w:r>
    </w:p>
    <w:p>
      <w:pPr>
        <w:autoSpaceDE w:val="0"/>
        <w:autoSpaceDN w:val="0"/>
        <w:adjustRightInd w:val="0"/>
        <w:spacing w:line="560" w:lineRule="exact"/>
        <w:ind w:firstLine="672"/>
        <w:rPr>
          <w:rFonts w:ascii="仿宋_GB2312" w:eastAsia="仿宋_GB2312" w:cs="仿宋_GB2312"/>
          <w:color w:val="000000"/>
          <w:spacing w:val="8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Times New Roman"/>
          <w:sz w:val="32"/>
          <w:szCs w:val="32"/>
          <w:shd w:val="clear" w:color="auto" w:fill="auto"/>
          <w:lang w:val="zh-CN"/>
        </w:rPr>
        <w:t>住宅专项维修资金（以下简称专维资金）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lang w:val="zh-CN"/>
        </w:rPr>
        <w:t>是住宅共用部位和共用设施设备维修和正常使用的重要保障。我市自1992年开始建立维修资金制度以来，为解决住宅的维修改造，保障业主的居住安全发挥了重要作用，但当前仍然存在着支取使用不便、补建续筹落实难等问题。</w:t>
      </w:r>
    </w:p>
    <w:p>
      <w:pPr>
        <w:autoSpaceDE w:val="0"/>
        <w:autoSpaceDN w:val="0"/>
        <w:adjustRightInd w:val="0"/>
        <w:spacing w:line="560" w:lineRule="exact"/>
        <w:ind w:firstLine="672"/>
        <w:rPr>
          <w:rFonts w:ascii="仿宋_GB2312" w:eastAsia="仿宋_GB2312" w:cs="仿宋_GB2312"/>
          <w:color w:val="000000"/>
          <w:spacing w:val="8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lang w:val="zh-CN"/>
        </w:rPr>
        <w:t>为深入落实《北京市物业管理条例》、进一步</w:t>
      </w:r>
      <w:r>
        <w:rPr>
          <w:rFonts w:ascii="仿宋_GB2312" w:eastAsia="仿宋_GB2312" w:cs="仿宋_GB2312"/>
          <w:color w:val="000000"/>
          <w:spacing w:val="8"/>
          <w:kern w:val="0"/>
          <w:sz w:val="32"/>
          <w:szCs w:val="32"/>
          <w:lang w:val="zh-CN"/>
        </w:rPr>
        <w:t>完善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lang w:val="zh-CN"/>
        </w:rPr>
        <w:t>专维资金补建、续筹和规范使用的政策体系，实现专维资金归集到位，安全存管，使用高效，监管有力，不断提高专维资金的科学管理水平，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市住房城乡建设委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在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反复调研并征求部分专家和业主代表意见的基础上，起草了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《北京市深化住宅专项维修资金管理改革的若干措施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lang w:val="zh-CN"/>
        </w:rPr>
        <w:t>》（以下简称《若干措施》），现向社会公开征求意见。</w:t>
      </w:r>
    </w:p>
    <w:p>
      <w:pPr>
        <w:autoSpaceDE w:val="0"/>
        <w:autoSpaceDN w:val="0"/>
        <w:adjustRightInd w:val="0"/>
        <w:spacing w:line="560" w:lineRule="exact"/>
        <w:ind w:firstLine="672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二、《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若干措施</w:t>
      </w:r>
      <w:r>
        <w:rPr>
          <w:rFonts w:hint="eastAsia" w:ascii="仿宋_GB2312" w:eastAsia="仿宋_GB2312"/>
          <w:b/>
          <w:sz w:val="32"/>
          <w:szCs w:val="32"/>
        </w:rPr>
        <w:t>》的主要内容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bidi w:val="0"/>
        <w:snapToGrid/>
        <w:spacing w:line="560" w:lineRule="exact"/>
        <w:ind w:left="0" w:leftChars="0" w:right="0" w:firstLine="640"/>
        <w:jc w:val="both"/>
        <w:textAlignment w:val="auto"/>
        <w:rPr>
          <w:rFonts w:hint="eastAsia" w:ascii="仿宋_GB2312" w:eastAsia="仿宋_GB2312" w:cs="Times New Roman"/>
          <w:sz w:val="32"/>
          <w:szCs w:val="32"/>
          <w:shd w:val="clear" w:color="auto" w:fill="auto"/>
          <w:lang w:val="zh-C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eastAsia="zh-CN"/>
        </w:rPr>
        <w:t>加强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  <w:lang w:val="zh-CN"/>
        </w:rPr>
        <w:t>专维资金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信息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  <w:lang w:val="zh-CN"/>
        </w:rPr>
        <w:t>数据管理。</w:t>
      </w:r>
      <w:r>
        <w:rPr>
          <w:rFonts w:hint="eastAsia" w:ascii="仿宋_GB2312" w:eastAsia="仿宋_GB2312" w:cs="Times New Roman"/>
          <w:sz w:val="32"/>
          <w:szCs w:val="32"/>
          <w:shd w:val="clear" w:color="auto" w:fill="auto"/>
          <w:lang w:val="zh-CN" w:eastAsia="zh-CN"/>
        </w:rPr>
        <w:t>市住房资金管理部门负责完善全市专维资金管理信息系统，</w:t>
      </w:r>
      <w:r>
        <w:rPr>
          <w:rFonts w:hint="eastAsia" w:ascii="仿宋_GB2312" w:eastAsia="仿宋_GB2312" w:cs="Times New Roman"/>
          <w:sz w:val="32"/>
          <w:szCs w:val="32"/>
          <w:shd w:val="clear" w:color="auto" w:fill="auto"/>
          <w:lang w:val="en-US" w:eastAsia="zh-Hans"/>
        </w:rPr>
        <w:t>会同</w:t>
      </w:r>
      <w:r>
        <w:rPr>
          <w:rFonts w:hint="eastAsia" w:ascii="仿宋_GB2312" w:eastAsia="仿宋_GB2312" w:cs="Times New Roman"/>
          <w:sz w:val="32"/>
          <w:szCs w:val="32"/>
          <w:shd w:val="clear" w:color="auto" w:fill="auto"/>
          <w:lang w:val="en-US" w:eastAsia="zh-CN"/>
        </w:rPr>
        <w:t>市</w:t>
      </w:r>
      <w:r>
        <w:rPr>
          <w:rFonts w:hint="eastAsia" w:ascii="仿宋_GB2312" w:eastAsia="仿宋_GB2312" w:cs="Times New Roman"/>
          <w:sz w:val="32"/>
          <w:szCs w:val="32"/>
          <w:shd w:val="clear" w:color="auto" w:fill="auto"/>
          <w:lang w:val="en-US" w:eastAsia="zh-Hans"/>
        </w:rPr>
        <w:t>住房城乡建设、规划自然资</w:t>
      </w:r>
      <w:r>
        <w:rPr>
          <w:rFonts w:hint="eastAsia" w:ascii="仿宋_GB2312" w:eastAsia="仿宋_GB2312" w:cs="Times New Roman"/>
          <w:sz w:val="32"/>
          <w:szCs w:val="32"/>
          <w:shd w:val="clear" w:color="auto" w:fill="auto"/>
          <w:lang w:val="zh-CN" w:eastAsia="zh-Hans"/>
        </w:rPr>
        <w:t>源等部门</w:t>
      </w:r>
      <w:r>
        <w:rPr>
          <w:rFonts w:hint="eastAsia" w:ascii="仿宋_GB2312" w:eastAsia="仿宋_GB2312" w:cs="Times New Roman"/>
          <w:sz w:val="32"/>
          <w:szCs w:val="32"/>
          <w:shd w:val="clear" w:color="auto" w:fill="auto"/>
          <w:lang w:val="en-US" w:eastAsia="zh-CN"/>
        </w:rPr>
        <w:t>推动多源数据交换</w:t>
      </w:r>
      <w:r>
        <w:rPr>
          <w:rFonts w:hint="eastAsia" w:ascii="仿宋_GB2312" w:eastAsia="仿宋_GB2312" w:cs="Times New Roman"/>
          <w:sz w:val="32"/>
          <w:szCs w:val="32"/>
          <w:shd w:val="clear" w:color="auto" w:fill="auto"/>
          <w:lang w:val="zh-CN" w:eastAsia="zh-CN"/>
        </w:rPr>
        <w:t>。　　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eastAsia="zh-CN"/>
        </w:rPr>
        <w:t>加强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商品住宅专维资金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eastAsia="zh-CN"/>
        </w:rPr>
        <w:t>的归集和续筹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尚未出售的房屋由开发建设单位交纳，待房屋出售时与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房人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就已交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纳的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专维资金进行结算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划转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市区规划自然资源部门在办理不动产登记时，应当核查专维资金是否足额交纳，未足额交纳的，不予办理登记手续。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auto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auto"/>
          <w:lang w:eastAsia="zh-CN"/>
        </w:rPr>
        <w:t>）开展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auto"/>
        </w:rPr>
        <w:t>房改售房专维资金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auto"/>
          <w:lang w:eastAsia="zh-CN"/>
        </w:rPr>
        <w:t>的补建续筹。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zh-CN"/>
        </w:rPr>
        <w:t>市住房资金管理部门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Hans"/>
        </w:rPr>
        <w:t>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zh-CN"/>
        </w:rPr>
        <w:t>专维资金应交未交的房改售房单位发出专维资金补建通知，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/>
        </w:rPr>
        <w:t>售房单位作为补建主体，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国家和本市规定的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商品住宅专维资金交纳范围和标准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/>
        </w:rPr>
        <w:t>补建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zh-CN"/>
        </w:rPr>
        <w:t>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zh-CN"/>
        </w:rPr>
      </w:pP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/>
        </w:rPr>
        <w:t>《若干措施》实施之前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已经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交纳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过的专维资金，售房单位</w:t>
      </w:r>
      <w:r>
        <w:rPr>
          <w:rFonts w:ascii="仿宋_GB2312" w:eastAsia="仿宋_GB2312"/>
          <w:color w:val="000000"/>
          <w:sz w:val="32"/>
          <w:szCs w:val="32"/>
          <w:shd w:val="clear" w:color="auto" w:fill="auto"/>
        </w:rPr>
        <w:t>应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  <w:t>负责</w:t>
      </w:r>
      <w:r>
        <w:rPr>
          <w:rFonts w:ascii="仿宋_GB2312" w:eastAsia="仿宋_GB2312"/>
          <w:color w:val="000000"/>
          <w:sz w:val="32"/>
          <w:szCs w:val="32"/>
          <w:shd w:val="clear" w:color="auto" w:fill="auto"/>
        </w:rPr>
        <w:t>将到幢账户金额依照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/>
        </w:rPr>
        <w:t>售房当年的专维资金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交纳</w:t>
      </w:r>
      <w:r>
        <w:rPr>
          <w:rFonts w:ascii="仿宋_GB2312" w:eastAsia="仿宋_GB2312"/>
          <w:color w:val="000000"/>
          <w:sz w:val="32"/>
          <w:szCs w:val="32"/>
          <w:shd w:val="clear" w:color="auto" w:fill="auto"/>
        </w:rPr>
        <w:t>标准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  <w:lang w:eastAsia="zh-CN"/>
        </w:rPr>
        <w:t>拆分</w:t>
      </w:r>
      <w:r>
        <w:rPr>
          <w:rFonts w:ascii="仿宋_GB2312" w:eastAsia="仿宋_GB2312"/>
          <w:color w:val="000000"/>
          <w:sz w:val="32"/>
          <w:szCs w:val="32"/>
          <w:shd w:val="clear" w:color="auto" w:fill="auto"/>
        </w:rPr>
        <w:t>到对应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  <w:t>房屋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  <w:lang w:eastAsia="zh-CN"/>
        </w:rPr>
        <w:t>；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/>
        </w:rPr>
        <w:t>未售公房与其他已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交纳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/>
        </w:rPr>
        <w:t>专维资金的住宅位于同一物业管理区域的，未售公房的产权单位作为业主应按照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现行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/>
        </w:rPr>
        <w:t>商品住宅标准交纳专维资金，交纳资金可从本单位售后公房售房款中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列支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eastAsia="zh-CN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eastAsia="zh-CN"/>
        </w:rPr>
        <w:t>完善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  <w:lang w:val="zh-CN"/>
        </w:rPr>
        <w:t>专维资金使用申请主体。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业主大会（业主共同决定）授权物业服务人、业主委员会（物业管理委员会）或其他相关主体为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/>
        </w:rPr>
        <w:t>商品住宅或售后公房的专维资金使用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申请主体。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华文楷体" w:hAnsi="华文楷体" w:eastAsia="华文楷体" w:cs="楷体_GB2312"/>
          <w:sz w:val="32"/>
          <w:szCs w:val="32"/>
          <w:shd w:val="clear" w:color="auto" w:fill="auto"/>
          <w:lang w:val="zh-CN"/>
        </w:rPr>
        <w:t>（五）建立</w:t>
      </w:r>
      <w:r>
        <w:rPr>
          <w:rFonts w:hint="eastAsia" w:ascii="华文楷体" w:hAnsi="华文楷体" w:eastAsia="华文楷体" w:cs="楷体_GB2312"/>
          <w:sz w:val="32"/>
          <w:szCs w:val="32"/>
          <w:shd w:val="clear" w:color="auto" w:fill="auto"/>
          <w:lang w:val="en-US" w:eastAsia="zh-CN"/>
        </w:rPr>
        <w:t>使用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专维资金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val="en-US" w:eastAsia="zh-CN"/>
        </w:rPr>
        <w:t>工程安全质量监管机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工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程投资额在100万以上且建筑面积在300平方米以上的维修工程，应依法办理建筑工程施工许可手续并纳入住建部门质量监督管理，按照合同约定拨付维修资金，完工后应执行竣工验收流程或申请联合验收。工程投资额在100万元以下（含）或建筑面积在300平方米以下（含），按照《限额以下小型工程施工安全管理办法》由属地负责对工程安全生产实施监督管理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 w:eastAsia="zh-CN"/>
        </w:rPr>
        <w:t>。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 w:eastAsia="zh-CN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</w:rPr>
        <w:t>（六）明确</w:t>
      </w:r>
      <w:r>
        <w:rPr>
          <w:rFonts w:hint="eastAsia" w:ascii="楷体_GB2312" w:hAnsi="楷体_GB2312" w:eastAsia="楷体_GB2312" w:cs="楷体_GB2312"/>
          <w:sz w:val="32"/>
          <w:lang w:val="zh-CN"/>
        </w:rPr>
        <w:t>专维资金</w:t>
      </w:r>
      <w:r>
        <w:rPr>
          <w:rFonts w:hint="eastAsia" w:ascii="楷体_GB2312" w:hAnsi="楷体_GB2312" w:eastAsia="楷体_GB2312" w:cs="楷体_GB2312"/>
          <w:sz w:val="32"/>
        </w:rPr>
        <w:t>紧急</w:t>
      </w:r>
      <w:r>
        <w:rPr>
          <w:rFonts w:hint="eastAsia" w:ascii="楷体_GB2312" w:hAnsi="楷体_GB2312" w:eastAsia="楷体_GB2312" w:cs="楷体_GB2312"/>
          <w:sz w:val="32"/>
          <w:lang w:val="zh-CN"/>
        </w:rPr>
        <w:t>使用</w:t>
      </w:r>
      <w:r>
        <w:rPr>
          <w:rFonts w:hint="eastAsia" w:ascii="楷体_GB2312" w:hAnsi="楷体_GB2312" w:eastAsia="楷体_GB2312" w:cs="楷体_GB2312"/>
          <w:sz w:val="32"/>
        </w:rPr>
        <w:t>范围及</w:t>
      </w:r>
      <w:r>
        <w:rPr>
          <w:rFonts w:hint="eastAsia" w:ascii="楷体_GB2312" w:hAnsi="楷体_GB2312" w:eastAsia="楷体_GB2312" w:cs="楷体_GB2312"/>
          <w:sz w:val="32"/>
          <w:lang w:val="zh-CN"/>
        </w:rPr>
        <w:t>申请</w:t>
      </w:r>
      <w:r>
        <w:rPr>
          <w:rFonts w:hint="eastAsia" w:ascii="楷体_GB2312" w:hAnsi="楷体_GB2312" w:eastAsia="楷体_GB2312" w:cs="楷体_GB2312"/>
          <w:sz w:val="32"/>
        </w:rPr>
        <w:t>程序。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发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 w:eastAsia="zh-CN"/>
        </w:rPr>
        <w:t>生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危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 w:eastAsia="zh-CN"/>
        </w:rPr>
        <w:t>及房屋使用安全的紧急情况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，需要立即对业主共用部位和设施设备进行维修、更新和改造的，可以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 w:eastAsia="zh-CN"/>
        </w:rPr>
        <w:t>紧急申请使用专维资金，无需业主共同决定。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bidi w:val="0"/>
        <w:snapToGrid/>
        <w:spacing w:line="560" w:lineRule="exact"/>
        <w:ind w:left="0" w:leftChars="0" w:right="0" w:firstLine="672" w:firstLineChars="200"/>
        <w:jc w:val="both"/>
        <w:textAlignment w:val="auto"/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/>
        </w:rPr>
      </w:pP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</w:rPr>
        <w:t>（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</w:rPr>
        <w:t>）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  <w:lang w:eastAsia="zh-CN"/>
        </w:rPr>
        <w:t>建立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</w:rPr>
        <w:t>专户管理银行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  <w:lang w:val="zh-CN"/>
        </w:rPr>
        <w:t>考核评估机制。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住房资金管理部门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-US"/>
        </w:rPr>
        <w:t>通过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/>
        </w:rPr>
        <w:t>公开竞争方式增选专户管理银行。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bidi w:val="0"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auto"/>
          <w:lang w:val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auto"/>
          <w:lang w:val="en-US" w:eastAsia="zh-CN"/>
        </w:rPr>
        <w:t>八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auto"/>
          <w:lang w:val="zh-CN"/>
        </w:rPr>
        <w:t>）实施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  <w:lang w:val="en-US"/>
        </w:rPr>
        <w:t>专维资金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利率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  <w:lang w:val="en-US"/>
        </w:rPr>
        <w:t>动态调整，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探索创新专维资金使用制度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  <w:lang w:val="zh-CN"/>
        </w:rPr>
        <w:t>。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/>
        </w:rPr>
        <w:t>专维资金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存储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/>
        </w:rPr>
        <w:t>利率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随央行一年期定期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/>
        </w:rPr>
        <w:t>动态调整。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eastAsia="zh-CN"/>
        </w:rPr>
        <w:t>　　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bidi w:val="0"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val="en-US" w:eastAsia="zh-CN"/>
        </w:rPr>
        <w:t>九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）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完善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</w:rPr>
        <w:t>业主大会划转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存管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</w:rPr>
        <w:t>专维资金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条件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shd w:val="clear" w:color="auto" w:fill="auto"/>
        </w:rPr>
        <w:t>。</w:t>
      </w:r>
      <w:r>
        <w:rPr>
          <w:rFonts w:hint="eastAsia" w:ascii="仿宋_GB2312" w:hAnsi="Calibri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 w:bidi="ar-SA"/>
        </w:rPr>
        <w:t>业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主大会划转专维资金应满足如下条件：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 w:eastAsia="zh-CN"/>
        </w:rPr>
        <w:t>物业管理区域已成立业主大会；物业管理区域内专维资金均已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足额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 w:eastAsia="zh-CN"/>
        </w:rPr>
        <w:t>归集到位；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业主共同决定制定本小区专维资金续筹细则、公共收益补充专维资金细则；业主委员会依法履职且不存在违法违规行为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 w:eastAsia="zh-CN"/>
        </w:rPr>
        <w:t>。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 w:eastAsia="zh-CN"/>
        </w:rPr>
        <w:br w:type="textWrapping"/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val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val="en-US" w:eastAsia="zh-CN"/>
        </w:rPr>
        <w:t>十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val="zh-CN"/>
        </w:rPr>
        <w:t>）加强部门工作统筹和联动。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zh-CN"/>
        </w:rPr>
        <w:t>市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 w:eastAsia="zh-CN"/>
        </w:rPr>
        <w:t>住房城乡建设、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en-US" w:eastAsia="zh-CN"/>
        </w:rPr>
        <w:t>审计、</w:t>
      </w:r>
      <w:r>
        <w:rPr>
          <w:rFonts w:hint="eastAsia" w:ascii="仿宋_GB2312" w:eastAsia="仿宋_GB2312" w:cs="仿宋_GB2312"/>
          <w:color w:val="000000"/>
          <w:spacing w:val="8"/>
          <w:kern w:val="0"/>
          <w:sz w:val="32"/>
          <w:szCs w:val="32"/>
          <w:shd w:val="clear" w:color="auto" w:fill="auto"/>
          <w:lang w:val="zh-CN" w:eastAsia="zh-CN"/>
        </w:rPr>
        <w:t>财政、规划自然资源、国有资产管理、金融监管、住房资金管理等部门共同参与，加强定期会商，指导和推进专维资金管理改革实施工作。</w:t>
      </w:r>
    </w:p>
    <w:p>
      <w:pPr>
        <w:autoSpaceDE w:val="0"/>
        <w:autoSpaceDN w:val="0"/>
        <w:adjustRightInd w:val="0"/>
        <w:spacing w:line="560" w:lineRule="exact"/>
        <w:ind w:firstLine="672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三、下一步工作安排</w:t>
      </w:r>
    </w:p>
    <w:p>
      <w:pPr>
        <w:autoSpaceDE w:val="0"/>
        <w:autoSpaceDN w:val="0"/>
        <w:adjustRightInd w:val="0"/>
        <w:spacing w:line="560" w:lineRule="exact"/>
        <w:ind w:firstLine="672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《若干措施》</w:t>
      </w:r>
      <w:r>
        <w:rPr>
          <w:rFonts w:hint="eastAsia" w:ascii="仿宋_GB2312" w:eastAsia="仿宋_GB2312"/>
          <w:sz w:val="32"/>
          <w:szCs w:val="32"/>
        </w:rPr>
        <w:t>从住宅专项维修资金的补建、续筹、归集、使用、银行服务等方面制定了具体的可操作性措施</w:t>
      </w:r>
      <w:r>
        <w:rPr>
          <w:rFonts w:hint="eastAsia" w:ascii="仿宋_GB2312" w:eastAsia="仿宋_GB2312"/>
          <w:sz w:val="32"/>
          <w:szCs w:val="32"/>
          <w:lang w:eastAsia="zh-CN"/>
        </w:rPr>
        <w:t>，下一步我委将根据社会各界的意见和建议对《若干措施》加以完善。</w:t>
      </w:r>
    </w:p>
    <w:p>
      <w:pPr>
        <w:autoSpaceDE w:val="0"/>
        <w:autoSpaceDN w:val="0"/>
        <w:adjustRightInd w:val="0"/>
        <w:spacing w:line="560" w:lineRule="exact"/>
        <w:ind w:firstLine="672"/>
        <w:rPr>
          <w:rFonts w:ascii="仿宋_GB2312" w:eastAsia="仿宋_GB2312" w:cs="仿宋_GB2312"/>
          <w:color w:val="000000"/>
          <w:spacing w:val="8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displayBackgroundShape w:val="1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2D72D9"/>
    <w:rsid w:val="ADD7FAB5"/>
    <w:rsid w:val="B4BE5DE3"/>
    <w:rsid w:val="BEEDAB53"/>
    <w:rsid w:val="D7FD7786"/>
    <w:rsid w:val="DDDB0A31"/>
    <w:rsid w:val="FB77C1E0"/>
    <w:rsid w:val="FFFB47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641</Words>
  <Characters>3660</Characters>
  <Lines>30</Lines>
  <Paragraphs>8</Paragraphs>
  <TotalTime>6</TotalTime>
  <ScaleCrop>false</ScaleCrop>
  <LinksUpToDate>false</LinksUpToDate>
  <CharactersWithSpaces>4293</CharactersWithSpaces>
  <Application>WPS Office_11.1.0.11719_F1E327BC-269C-435d-A152-05C5408002CA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2021-07-01T07:33:00Z</dcterms:created>
  <dc:creator>演示人</dc:creator>
  <cp:lastModifiedBy>alx</cp:lastModifiedBy>
  <cp:lastPrinted>2024-04-05T02:23:00Z</cp:lastPrinted>
  <dcterms:modified xsi:type="dcterms:W3CDTF">2024-04-07T11:36:25Z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2052-11.1.0.11719</vt:lpwstr>
  </property>
  <property fmtid="{D5CDD505-2E9C-101B-9397-08002B2CF9AE}" pid="3" name="ICV">
    <vt:lpwstr>DCD8D446D20FD49E03BD0B66CFD80F8B_33</vt:lpwstr>
  </property>
</Properties>
</file>